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C5901" w:rsidRDefault="003C5901">
      <w:pPr>
        <w:rPr>
          <w:b/>
          <w:sz w:val="24"/>
        </w:rPr>
      </w:pPr>
    </w:p>
    <w:p w:rsidR="003C5901" w:rsidRDefault="003C5901">
      <w:pPr>
        <w:rPr>
          <w:b/>
          <w:sz w:val="24"/>
        </w:rPr>
      </w:pPr>
    </w:p>
    <w:p w:rsidR="003C5901" w:rsidRDefault="00B76E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76EA6">
        <w:rPr>
          <w:b/>
          <w:sz w:val="24"/>
        </w:rPr>
        <w:t>Information Notice</w:t>
      </w:r>
    </w:p>
    <w:bookmarkEnd w:id="1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76EA6">
        <w:rPr>
          <w:b/>
          <w:sz w:val="24"/>
        </w:rPr>
        <w:t>12</w:t>
      </w:r>
      <w:r w:rsidR="00C2175C">
        <w:rPr>
          <w:b/>
          <w:sz w:val="24"/>
        </w:rPr>
        <w:t>3</w:t>
      </w:r>
    </w:p>
    <w:bookmarkEnd w:id="2"/>
    <w:p w:rsidR="003C5901" w:rsidRDefault="003C5901">
      <w:pPr>
        <w:pBdr>
          <w:bottom w:val="single" w:sz="6" w:space="1" w:color="auto"/>
        </w:pBdr>
        <w:rPr>
          <w:sz w:val="24"/>
        </w:rPr>
      </w:pPr>
    </w:p>
    <w:p w:rsidR="003C5901" w:rsidRDefault="003C5901">
      <w:pPr>
        <w:rPr>
          <w:sz w:val="24"/>
        </w:rPr>
      </w:pPr>
    </w:p>
    <w:p w:rsidR="003C5901" w:rsidRDefault="00B76EA6">
      <w:pPr>
        <w:rPr>
          <w:sz w:val="24"/>
        </w:rPr>
      </w:pPr>
      <w:r>
        <w:rPr>
          <w:sz w:val="24"/>
        </w:rPr>
        <w:t>Version 12</w:t>
      </w:r>
      <w:r w:rsidR="00C2175C">
        <w:rPr>
          <w:sz w:val="24"/>
        </w:rPr>
        <w:t>3</w:t>
      </w:r>
      <w:r>
        <w:rPr>
          <w:sz w:val="24"/>
        </w:rPr>
        <w:t xml:space="preserve"> of the Administration and Probate Act 1958, which was lodged on the Victorian Statute Book on </w:t>
      </w:r>
      <w:r w:rsidR="00D36754">
        <w:rPr>
          <w:sz w:val="24"/>
        </w:rPr>
        <w:t>1 January 2017</w:t>
      </w:r>
      <w:r>
        <w:rPr>
          <w:sz w:val="24"/>
        </w:rPr>
        <w:t xml:space="preserve">, </w:t>
      </w:r>
      <w:r w:rsidR="00AB55B6">
        <w:rPr>
          <w:sz w:val="24"/>
        </w:rPr>
        <w:t>had broken links in its Table of Provisions</w:t>
      </w:r>
      <w:r>
        <w:rPr>
          <w:sz w:val="24"/>
        </w:rPr>
        <w:t>.</w:t>
      </w:r>
    </w:p>
    <w:p w:rsidR="00B76EA6" w:rsidRDefault="00B76EA6">
      <w:pPr>
        <w:rPr>
          <w:sz w:val="24"/>
        </w:rPr>
      </w:pPr>
    </w:p>
    <w:p w:rsidR="00B76EA6" w:rsidRDefault="00B76EA6">
      <w:pPr>
        <w:rPr>
          <w:sz w:val="24"/>
        </w:rPr>
      </w:pPr>
      <w:r>
        <w:rPr>
          <w:sz w:val="24"/>
        </w:rPr>
        <w:t xml:space="preserve">This Version was republished on </w:t>
      </w:r>
      <w:r w:rsidR="009D6B06">
        <w:rPr>
          <w:sz w:val="24"/>
        </w:rPr>
        <w:t>8 October 2018</w:t>
      </w:r>
      <w:r>
        <w:rPr>
          <w:sz w:val="24"/>
        </w:rPr>
        <w:t xml:space="preserve"> so as to correctly reproduce the Table of Provisions.</w:t>
      </w:r>
    </w:p>
    <w:sectPr w:rsidR="00B76EA6" w:rsidSect="003C590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76EA6"/>
    <w:rsid w:val="000E7DCF"/>
    <w:rsid w:val="00301684"/>
    <w:rsid w:val="003C5901"/>
    <w:rsid w:val="005325A9"/>
    <w:rsid w:val="00830BE4"/>
    <w:rsid w:val="009D6B06"/>
    <w:rsid w:val="00A70AED"/>
    <w:rsid w:val="00AB55B6"/>
    <w:rsid w:val="00B76EA6"/>
    <w:rsid w:val="00C2175C"/>
    <w:rsid w:val="00C57971"/>
    <w:rsid w:val="00D270A7"/>
    <w:rsid w:val="00D36754"/>
    <w:rsid w:val="00DB5930"/>
    <w:rsid w:val="00E4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0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2018-10-08T00:59:00Z</cp:lastPrinted>
  <dcterms:created xsi:type="dcterms:W3CDTF">2018-10-08T00:55:00Z</dcterms:created>
  <dcterms:modified xsi:type="dcterms:W3CDTF">2018-10-08T03:08:00Z</dcterms:modified>
</cp:coreProperties>
</file>