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43475">
        <w:rPr>
          <w:b/>
          <w:sz w:val="24"/>
        </w:rPr>
        <w:t>Graffiti Prevention Act 2007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3475">
        <w:rPr>
          <w:b/>
          <w:sz w:val="24"/>
        </w:rPr>
        <w:t>007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>
      <w:pPr>
        <w:rPr>
          <w:sz w:val="24"/>
        </w:rPr>
      </w:pPr>
      <w:r>
        <w:rPr>
          <w:sz w:val="24"/>
        </w:rPr>
        <w:t xml:space="preserve">Version </w:t>
      </w:r>
      <w:r w:rsidR="00D43475">
        <w:rPr>
          <w:sz w:val="24"/>
        </w:rPr>
        <w:t>007</w:t>
      </w:r>
      <w:r>
        <w:rPr>
          <w:sz w:val="24"/>
        </w:rPr>
        <w:t xml:space="preserve"> of the </w:t>
      </w:r>
      <w:r w:rsidR="00D43475">
        <w:rPr>
          <w:b/>
          <w:sz w:val="24"/>
        </w:rPr>
        <w:t>Graffiti Prevention Act 2007</w:t>
      </w:r>
      <w:r>
        <w:rPr>
          <w:sz w:val="24"/>
        </w:rPr>
        <w:t xml:space="preserve">, lodged on the Law Today on 15 December 2011, incorporates amendments </w:t>
      </w:r>
      <w:r w:rsidR="003C0730">
        <w:rPr>
          <w:sz w:val="24"/>
        </w:rPr>
        <w:t>to that Act set out in Schedule 2</w:t>
      </w:r>
      <w:r>
        <w:rPr>
          <w:sz w:val="24"/>
        </w:rPr>
        <w:t xml:space="preserve">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sectPr w:rsidR="00274A8A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E7DCF"/>
    <w:rsid w:val="001351F1"/>
    <w:rsid w:val="00274A8A"/>
    <w:rsid w:val="00297771"/>
    <w:rsid w:val="00336DC1"/>
    <w:rsid w:val="003C0730"/>
    <w:rsid w:val="00455089"/>
    <w:rsid w:val="005929F7"/>
    <w:rsid w:val="009206BD"/>
    <w:rsid w:val="009262E0"/>
    <w:rsid w:val="00975F53"/>
    <w:rsid w:val="00B2243A"/>
    <w:rsid w:val="00D43475"/>
    <w:rsid w:val="00F3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2011-12-16T03:14:00Z</cp:lastPrinted>
  <dcterms:created xsi:type="dcterms:W3CDTF">2011-12-16T04:47:00Z</dcterms:created>
  <dcterms:modified xsi:type="dcterms:W3CDTF">2011-12-16T04:47:00Z</dcterms:modified>
</cp:coreProperties>
</file>