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AB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90ABC" w:rsidRDefault="00C90ABC">
      <w:pPr>
        <w:rPr>
          <w:b/>
          <w:sz w:val="24"/>
        </w:rPr>
      </w:pPr>
    </w:p>
    <w:p w:rsidR="00C90ABC" w:rsidRDefault="00C90ABC">
      <w:pPr>
        <w:rPr>
          <w:b/>
          <w:sz w:val="24"/>
        </w:rPr>
      </w:pPr>
    </w:p>
    <w:p w:rsidR="00C90ABC" w:rsidRDefault="00F93CB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Dangerous Goods (Explosives) Regulations 2011</w:t>
      </w:r>
    </w:p>
    <w:bookmarkEnd w:id="0"/>
    <w:p w:rsidR="00C90ABC" w:rsidRDefault="00C90ABC">
      <w:pPr>
        <w:tabs>
          <w:tab w:val="left" w:pos="2835"/>
          <w:tab w:val="right" w:pos="3060"/>
        </w:tabs>
        <w:rPr>
          <w:b/>
          <w:sz w:val="24"/>
        </w:rPr>
      </w:pPr>
    </w:p>
    <w:p w:rsidR="00C90A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F93CB7">
        <w:rPr>
          <w:b/>
          <w:sz w:val="24"/>
        </w:rPr>
        <w:t>Correction</w:t>
      </w:r>
    </w:p>
    <w:bookmarkEnd w:id="1"/>
    <w:p w:rsidR="00C90ABC" w:rsidRDefault="00C90ABC">
      <w:pPr>
        <w:tabs>
          <w:tab w:val="left" w:pos="2835"/>
          <w:tab w:val="right" w:pos="3060"/>
        </w:tabs>
        <w:rPr>
          <w:b/>
          <w:sz w:val="24"/>
        </w:rPr>
      </w:pPr>
    </w:p>
    <w:p w:rsidR="00C90AB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93CB7">
        <w:rPr>
          <w:b/>
          <w:sz w:val="24"/>
        </w:rPr>
        <w:t>00</w:t>
      </w:r>
      <w:r w:rsidR="00233812">
        <w:rPr>
          <w:b/>
          <w:sz w:val="24"/>
        </w:rPr>
        <w:t>2</w:t>
      </w:r>
    </w:p>
    <w:bookmarkEnd w:id="2"/>
    <w:p w:rsidR="00C90ABC" w:rsidRDefault="00C90ABC">
      <w:pPr>
        <w:pBdr>
          <w:bottom w:val="single" w:sz="6" w:space="1" w:color="auto"/>
        </w:pBdr>
        <w:rPr>
          <w:sz w:val="24"/>
        </w:rPr>
      </w:pPr>
    </w:p>
    <w:p w:rsidR="00C90ABC" w:rsidRDefault="00C90ABC">
      <w:pPr>
        <w:rPr>
          <w:sz w:val="24"/>
        </w:rPr>
      </w:pPr>
    </w:p>
    <w:p w:rsidR="00C90ABC" w:rsidRDefault="00F93CB7">
      <w:pPr>
        <w:rPr>
          <w:sz w:val="24"/>
        </w:rPr>
      </w:pPr>
      <w:r>
        <w:rPr>
          <w:sz w:val="24"/>
        </w:rPr>
        <w:t>Insert the following at the foot of Endnote 3:</w:t>
      </w:r>
    </w:p>
    <w:p w:rsidR="00F93CB7" w:rsidRPr="00EE1750" w:rsidRDefault="00F93CB7" w:rsidP="00F93CB7">
      <w:pPr>
        <w:spacing w:before="120"/>
        <w:jc w:val="center"/>
        <w:rPr>
          <w:sz w:val="24"/>
        </w:rPr>
      </w:pPr>
      <w:r w:rsidRPr="00EE1750">
        <w:rPr>
          <w:sz w:val="24"/>
        </w:rPr>
        <w:t>——</w:t>
      </w:r>
    </w:p>
    <w:p w:rsidR="00F93CB7" w:rsidRPr="00EE1750" w:rsidRDefault="00F93CB7" w:rsidP="00F93CB7">
      <w:pPr>
        <w:tabs>
          <w:tab w:val="left" w:pos="-720"/>
        </w:tabs>
        <w:spacing w:before="120"/>
        <w:jc w:val="center"/>
        <w:rPr>
          <w:b/>
        </w:rPr>
      </w:pPr>
      <w:r w:rsidRPr="00EE1750">
        <w:rPr>
          <w:b/>
        </w:rPr>
        <w:t>Table of Applied, Adopted or Incorporated Matter</w:t>
      </w:r>
    </w:p>
    <w:p w:rsidR="00F93CB7" w:rsidRPr="00EE1750" w:rsidRDefault="00F93CB7" w:rsidP="00F93CB7">
      <w:pPr>
        <w:tabs>
          <w:tab w:val="left" w:pos="-720"/>
        </w:tabs>
        <w:spacing w:before="120" w:after="60"/>
        <w:jc w:val="center"/>
        <w:rPr>
          <w:spacing w:val="-3"/>
        </w:rPr>
      </w:pPr>
      <w:r w:rsidRPr="00EE1750">
        <w:rPr>
          <w:spacing w:val="-3"/>
        </w:rPr>
        <w:t xml:space="preserve">The following table of </w:t>
      </w:r>
      <w:proofErr w:type="gramStart"/>
      <w:r w:rsidRPr="00EE1750">
        <w:rPr>
          <w:spacing w:val="-3"/>
        </w:rPr>
        <w:t>applied,</w:t>
      </w:r>
      <w:proofErr w:type="gramEnd"/>
      <w:r w:rsidRPr="00EE1750">
        <w:rPr>
          <w:spacing w:val="-3"/>
        </w:rPr>
        <w:t xml:space="preserve"> adopted or incorporated matter </w:t>
      </w:r>
      <w:r>
        <w:rPr>
          <w:spacing w:val="-3"/>
        </w:rPr>
        <w:t xml:space="preserve">was </w:t>
      </w:r>
      <w:r w:rsidRPr="00EE1750">
        <w:rPr>
          <w:spacing w:val="-3"/>
        </w:rPr>
        <w:t xml:space="preserve">included in </w:t>
      </w:r>
      <w:r>
        <w:rPr>
          <w:spacing w:val="-3"/>
        </w:rPr>
        <w:t xml:space="preserve">S.R. No. 37/2011 in </w:t>
      </w:r>
      <w:r w:rsidRPr="00EE1750">
        <w:rPr>
          <w:spacing w:val="-3"/>
        </w:rPr>
        <w:t>accordance with the requirements of regulation 5 of the Subordinate Legislation Regulations 2004.</w:t>
      </w:r>
    </w:p>
    <w:tbl>
      <w:tblPr>
        <w:tblW w:w="0" w:type="auto"/>
        <w:tblInd w:w="1393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985"/>
        <w:gridCol w:w="2693"/>
        <w:gridCol w:w="1559"/>
      </w:tblGrid>
      <w:tr w:rsidR="00F93CB7" w:rsidRPr="00EE1750" w:rsidTr="00F93CB7">
        <w:trPr>
          <w:cantSplit/>
        </w:trPr>
        <w:tc>
          <w:tcPr>
            <w:tcW w:w="1985" w:type="dxa"/>
          </w:tcPr>
          <w:p w:rsidR="00F93CB7" w:rsidRPr="00EE1750" w:rsidRDefault="00F93CB7" w:rsidP="00FA559E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Statutory rule provision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Title of applied, adopted or incorporated document</w:t>
            </w:r>
          </w:p>
        </w:tc>
        <w:tc>
          <w:tcPr>
            <w:tcW w:w="1559" w:type="dxa"/>
          </w:tcPr>
          <w:p w:rsidR="00F93CB7" w:rsidRPr="00EE1750" w:rsidRDefault="00F93CB7" w:rsidP="00FA559E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Matter in applied, adopted or incorporated document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definitions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rPr>
                <w:b/>
                <w:i/>
              </w:rPr>
              <w:t>Australian Explosives Code</w:t>
            </w:r>
            <w:r w:rsidRPr="00EE1750">
              <w:t xml:space="preserve"> or </w:t>
            </w:r>
            <w:proofErr w:type="spellStart"/>
            <w:r w:rsidRPr="00EE1750">
              <w:rPr>
                <w:b/>
                <w:i/>
              </w:rPr>
              <w:t>AEC</w:t>
            </w:r>
            <w:proofErr w:type="spellEnd"/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Classification Code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Hazard Division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8, 9, 11, 22, 31, 32, 42, 62, 99, 112 to 115, 119, 123, 173 and 186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Code for the Transport of Explosives by Road and Rail (</w:t>
            </w:r>
            <w:proofErr w:type="spellStart"/>
            <w:r w:rsidRPr="00EE1750">
              <w:t>AEC</w:t>
            </w:r>
            <w:proofErr w:type="spellEnd"/>
            <w:r w:rsidRPr="00EE1750">
              <w:t>), prepared by the Australian Forum of Explosives Regulators and endorsed by the Workplace Relations Ministers' Council,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AS 2187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 Explosives—Storage, transport and use,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definitions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 A protected work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rPr>
                <w:b/>
                <w:i/>
              </w:rPr>
              <w:t>Class B protected work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2187.0, Explosives—Storage, transport and use—Part 0: Terminology,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 xml:space="preserve">Definition of </w:t>
            </w:r>
            <w:r w:rsidRPr="00EE1750">
              <w:rPr>
                <w:b/>
                <w:i/>
              </w:rPr>
              <w:t>AS 3846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168 to 173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3846, The handling and transport of dangerous cargoes in port areas,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A559E" w:rsidRPr="00EE1750" w:rsidTr="00F613E3">
        <w:trPr>
          <w:cantSplit/>
        </w:trPr>
        <w:tc>
          <w:tcPr>
            <w:tcW w:w="1985" w:type="dxa"/>
          </w:tcPr>
          <w:p w:rsidR="00FA559E" w:rsidRPr="00EE1750" w:rsidRDefault="00FA559E" w:rsidP="00F613E3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lastRenderedPageBreak/>
              <w:t>Statutory rule provision</w:t>
            </w:r>
          </w:p>
        </w:tc>
        <w:tc>
          <w:tcPr>
            <w:tcW w:w="2693" w:type="dxa"/>
          </w:tcPr>
          <w:p w:rsidR="00FA559E" w:rsidRPr="00EE1750" w:rsidRDefault="00FA559E" w:rsidP="00F613E3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Title of applied, adopted or incorporated document</w:t>
            </w:r>
          </w:p>
        </w:tc>
        <w:tc>
          <w:tcPr>
            <w:tcW w:w="1559" w:type="dxa"/>
          </w:tcPr>
          <w:p w:rsidR="00FA559E" w:rsidRPr="00EE1750" w:rsidRDefault="00FA559E" w:rsidP="00F613E3">
            <w:pPr>
              <w:suppressLineNumbers/>
              <w:tabs>
                <w:tab w:val="left" w:pos="-720"/>
              </w:tabs>
              <w:suppressAutoHyphens/>
              <w:spacing w:before="60" w:after="60"/>
              <w:rPr>
                <w:spacing w:val="-3"/>
              </w:rPr>
            </w:pPr>
            <w:r w:rsidRPr="00EE1750">
              <w:rPr>
                <w:b/>
                <w:spacing w:val="-3"/>
              </w:rPr>
              <w:t>Matter in applied, adopted or incorporated document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45, 46, 51, 128 to 130, 135 and 161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2187.2, Explosives—Storage and use—Part 2: Use of Explosives,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following definitions in 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  <w:rPr>
                <w:b/>
                <w:i/>
              </w:rPr>
            </w:pPr>
            <w:r w:rsidRPr="00EE1750">
              <w:rPr>
                <w:b/>
                <w:i/>
              </w:rPr>
              <w:t>Class Label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rPr>
                <w:b/>
                <w:i/>
              </w:rPr>
              <w:t>UN number</w:t>
            </w:r>
            <w:r w:rsidRPr="00EE1750">
              <w:t xml:space="preserve"> or </w:t>
            </w:r>
            <w:r w:rsidRPr="00EE1750">
              <w:rPr>
                <w:b/>
                <w:i/>
              </w:rPr>
              <w:t>UN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 6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Code for the Transport of Dangerous Goods by Road and Rail, as in force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 5—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 xml:space="preserve">Definition of </w:t>
            </w:r>
            <w:r w:rsidRPr="00EE1750">
              <w:rPr>
                <w:b/>
                <w:i/>
              </w:rPr>
              <w:t>underground magazine</w:t>
            </w:r>
          </w:p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42, 56, 83, 89 and 91 to 94</w:t>
            </w:r>
          </w:p>
        </w:tc>
        <w:tc>
          <w:tcPr>
            <w:tcW w:w="2693" w:type="dxa"/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2187.1, "Explosives—Storage, transport and use—Part 1: Storage, published by Standards Australia, as amended from time to time</w:t>
            </w:r>
          </w:p>
        </w:tc>
        <w:tc>
          <w:tcPr>
            <w:tcW w:w="1559" w:type="dxa"/>
            <w:tcBorders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  <w:tr w:rsidR="00F93CB7" w:rsidRPr="00EE1750" w:rsidTr="00F93C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985" w:type="dxa"/>
            <w:tcBorders>
              <w:left w:val="double" w:sz="6" w:space="0" w:color="auto"/>
              <w:bottom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Regulations 150, 154, 156, 158, 159 and 161</w:t>
            </w:r>
          </w:p>
        </w:tc>
        <w:tc>
          <w:tcPr>
            <w:tcW w:w="2693" w:type="dxa"/>
            <w:tcBorders>
              <w:bottom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Australian Standard 2187.4, Explosives–Storage, transport and use—Part 4: Pyrotechnics–Outdoor displays, published by Standards Australia, as amended from time to time</w:t>
            </w:r>
          </w:p>
        </w:tc>
        <w:tc>
          <w:tcPr>
            <w:tcW w:w="1559" w:type="dxa"/>
            <w:tcBorders>
              <w:bottom w:val="double" w:sz="6" w:space="0" w:color="auto"/>
              <w:right w:val="double" w:sz="6" w:space="0" w:color="auto"/>
            </w:tcBorders>
          </w:tcPr>
          <w:p w:rsidR="00F93CB7" w:rsidRPr="00EE1750" w:rsidRDefault="00F93CB7" w:rsidP="00FA559E">
            <w:pPr>
              <w:suppressLineNumbers/>
              <w:spacing w:before="60" w:after="60"/>
            </w:pPr>
            <w:r w:rsidRPr="00EE1750">
              <w:t>The whole</w:t>
            </w:r>
          </w:p>
        </w:tc>
      </w:tr>
    </w:tbl>
    <w:p w:rsidR="00F93CB7" w:rsidRPr="00EE1750" w:rsidRDefault="00F93CB7" w:rsidP="00F93CB7">
      <w:pPr>
        <w:suppressLineNumbers/>
        <w:tabs>
          <w:tab w:val="left" w:pos="284"/>
        </w:tabs>
        <w:spacing w:after="120"/>
        <w:ind w:left="284" w:hanging="284"/>
        <w:jc w:val="center"/>
      </w:pPr>
    </w:p>
    <w:p w:rsidR="00F93CB7" w:rsidRDefault="00F93CB7">
      <w:pPr>
        <w:rPr>
          <w:sz w:val="24"/>
        </w:rPr>
      </w:pPr>
    </w:p>
    <w:sectPr w:rsidR="00F93CB7" w:rsidSect="00C90AB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F93CB7"/>
    <w:rsid w:val="000332E4"/>
    <w:rsid w:val="000E7DCF"/>
    <w:rsid w:val="00233812"/>
    <w:rsid w:val="00310B53"/>
    <w:rsid w:val="0047789B"/>
    <w:rsid w:val="004D6445"/>
    <w:rsid w:val="00643486"/>
    <w:rsid w:val="00807361"/>
    <w:rsid w:val="009D7540"/>
    <w:rsid w:val="00C90ABC"/>
    <w:rsid w:val="00F669C8"/>
    <w:rsid w:val="00F93CB7"/>
    <w:rsid w:val="00FA5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AB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2246</Characters>
  <Application>Microsoft Office Word</Application>
  <DocSecurity>0</DocSecurity>
  <Lines>102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2014-07-29T00:43:00Z</cp:lastPrinted>
  <dcterms:created xsi:type="dcterms:W3CDTF">2014-07-29T02:10:00Z</dcterms:created>
  <dcterms:modified xsi:type="dcterms:W3CDTF">2014-07-29T02:10:00Z</dcterms:modified>
</cp:coreProperties>
</file>