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278DA" w:rsidRDefault="000278DA">
      <w:pPr>
        <w:rPr>
          <w:b/>
          <w:sz w:val="24"/>
        </w:rPr>
      </w:pPr>
    </w:p>
    <w:p w:rsidR="000278DA" w:rsidRDefault="000278DA">
      <w:pPr>
        <w:rPr>
          <w:b/>
          <w:sz w:val="24"/>
        </w:rPr>
      </w:pPr>
    </w:p>
    <w:p w:rsidR="000278DA" w:rsidRDefault="00682C9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82C96">
        <w:rPr>
          <w:b/>
          <w:sz w:val="24"/>
        </w:rPr>
        <w:t>Retrospective Commencement</w:t>
      </w:r>
    </w:p>
    <w:bookmarkEnd w:id="1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682C96">
        <w:rPr>
          <w:b/>
          <w:sz w:val="24"/>
        </w:rPr>
        <w:t>059B</w:t>
      </w:r>
      <w:proofErr w:type="spellEnd"/>
    </w:p>
    <w:bookmarkEnd w:id="2"/>
    <w:p w:rsidR="000278DA" w:rsidRDefault="000278DA">
      <w:pPr>
        <w:pBdr>
          <w:bottom w:val="single" w:sz="6" w:space="1" w:color="auto"/>
        </w:pBdr>
        <w:rPr>
          <w:sz w:val="24"/>
        </w:rPr>
      </w:pPr>
    </w:p>
    <w:p w:rsidR="000278DA" w:rsidRDefault="000278DA">
      <w:pPr>
        <w:rPr>
          <w:sz w:val="24"/>
        </w:rPr>
      </w:pPr>
    </w:p>
    <w:p w:rsidR="00682C96" w:rsidRDefault="00A11D1C" w:rsidP="00682C96">
      <w:pPr>
        <w:rPr>
          <w:bCs/>
          <w:sz w:val="24"/>
        </w:rPr>
      </w:pPr>
      <w:r>
        <w:rPr>
          <w:sz w:val="24"/>
        </w:rPr>
        <w:t xml:space="preserve">The amendments made to </w:t>
      </w:r>
      <w:r w:rsidR="00682C96">
        <w:rPr>
          <w:sz w:val="24"/>
        </w:rPr>
        <w:t xml:space="preserve">the </w:t>
      </w:r>
      <w:r w:rsidR="00682C96">
        <w:rPr>
          <w:b/>
          <w:sz w:val="24"/>
        </w:rPr>
        <w:t xml:space="preserve">Liquor Control Reform Act 1998 </w:t>
      </w:r>
      <w:r w:rsidR="00682C96">
        <w:rPr>
          <w:bCs/>
          <w:sz w:val="24"/>
        </w:rPr>
        <w:t xml:space="preserve">by section 6 of the </w:t>
      </w:r>
      <w:r w:rsidR="00682C96">
        <w:rPr>
          <w:b/>
          <w:sz w:val="24"/>
        </w:rPr>
        <w:t>Justice Legislation Amendment Act 2012</w:t>
      </w:r>
      <w:r w:rsidR="00682C96">
        <w:rPr>
          <w:bCs/>
          <w:sz w:val="24"/>
        </w:rPr>
        <w:t>, No. </w:t>
      </w:r>
      <w:r w:rsidR="003812AA">
        <w:rPr>
          <w:bCs/>
          <w:sz w:val="24"/>
        </w:rPr>
        <w:t>23</w:t>
      </w:r>
      <w:r w:rsidR="00682C96">
        <w:rPr>
          <w:bCs/>
          <w:sz w:val="24"/>
        </w:rPr>
        <w:t>/2012</w:t>
      </w:r>
      <w:r>
        <w:rPr>
          <w:bCs/>
          <w:sz w:val="24"/>
        </w:rPr>
        <w:t xml:space="preserve"> are</w:t>
      </w:r>
      <w:r w:rsidR="00682C96">
        <w:rPr>
          <w:bCs/>
          <w:sz w:val="24"/>
        </w:rPr>
        <w:t xml:space="preserve"> deemed t</w:t>
      </w:r>
      <w:r>
        <w:rPr>
          <w:bCs/>
          <w:sz w:val="24"/>
        </w:rPr>
        <w:t>o have come into operation on 6 </w:t>
      </w:r>
      <w:r w:rsidR="00682C96">
        <w:rPr>
          <w:bCs/>
          <w:sz w:val="24"/>
        </w:rPr>
        <w:t>February 2012.</w:t>
      </w:r>
    </w:p>
    <w:p w:rsidR="00682C96" w:rsidRDefault="00682C96" w:rsidP="00682C96">
      <w:pPr>
        <w:rPr>
          <w:bCs/>
          <w:sz w:val="24"/>
        </w:rPr>
      </w:pPr>
      <w:r>
        <w:rPr>
          <w:bCs/>
          <w:sz w:val="24"/>
        </w:rPr>
        <w:t>Section 6 reads as follows:</w:t>
      </w:r>
    </w:p>
    <w:p w:rsidR="00682C96" w:rsidRDefault="00682C96" w:rsidP="00682C96">
      <w:pPr>
        <w:pStyle w:val="DraftHeading1"/>
        <w:tabs>
          <w:tab w:val="right" w:pos="680"/>
        </w:tabs>
        <w:ind w:left="850" w:hanging="850"/>
      </w:pPr>
      <w:bookmarkStart w:id="3" w:name="_Toc316394835"/>
      <w:bookmarkStart w:id="4" w:name="_Toc316394985"/>
      <w:bookmarkStart w:id="5" w:name="_Toc316395125"/>
      <w:bookmarkStart w:id="6" w:name="_Toc316466753"/>
      <w:bookmarkStart w:id="7" w:name="_Toc316632526"/>
      <w:bookmarkStart w:id="8" w:name="_Toc316651066"/>
      <w:bookmarkStart w:id="9" w:name="_Toc316651606"/>
      <w:bookmarkStart w:id="10" w:name="_Toc317161600"/>
      <w:bookmarkStart w:id="11" w:name="_Toc317161667"/>
      <w:r>
        <w:tab/>
      </w:r>
      <w:bookmarkStart w:id="12" w:name="_Toc317574582"/>
      <w:r>
        <w:t>6</w:t>
      </w:r>
      <w:r>
        <w:tab/>
        <w:t>Amendments to the Liquor Control Reform Act 1998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682C96" w:rsidRPr="00863050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863050">
        <w:t>(1)</w:t>
      </w:r>
      <w:r>
        <w:tab/>
        <w:t>For section 78(2</w:t>
      </w:r>
      <w:proofErr w:type="gramStart"/>
      <w:r>
        <w:t>)(</w:t>
      </w:r>
      <w:proofErr w:type="gramEnd"/>
      <w:r>
        <w:t xml:space="preserve">a) of the </w:t>
      </w:r>
      <w:r w:rsidRPr="00863050">
        <w:rPr>
          <w:b/>
        </w:rPr>
        <w:t>Liquor Control Reform Act 1998 substitute</w:t>
      </w:r>
      <w:r>
        <w:t>—</w:t>
      </w:r>
    </w:p>
    <w:p w:rsidR="00682C96" w:rsidRDefault="00682C96" w:rsidP="00682C96">
      <w:pPr>
        <w:pStyle w:val="AmendHeading1"/>
        <w:tabs>
          <w:tab w:val="right" w:pos="1701"/>
        </w:tabs>
        <w:ind w:left="1871" w:hanging="1871"/>
      </w:pPr>
      <w:r>
        <w:tab/>
      </w:r>
      <w:r w:rsidRPr="00863050">
        <w:t>"(a)</w:t>
      </w:r>
      <w:r>
        <w:tab/>
        <w:t>be made to the Commission in writing within 21 days after the day on which a copy of the application was given to the Chief Commissioner under section 77(2); and".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863050">
        <w:t>(2)</w:t>
      </w:r>
      <w:r>
        <w:tab/>
        <w:t xml:space="preserve">In section </w:t>
      </w:r>
      <w:proofErr w:type="spellStart"/>
      <w:proofErr w:type="gramStart"/>
      <w:r>
        <w:t>148ZT</w:t>
      </w:r>
      <w:proofErr w:type="spellEnd"/>
      <w:r>
        <w:t>(</w:t>
      </w:r>
      <w:proofErr w:type="gramEnd"/>
      <w:r>
        <w:t xml:space="preserve">1)(f) of the </w:t>
      </w:r>
      <w:r>
        <w:rPr>
          <w:b/>
        </w:rPr>
        <w:t>Liquor Control Reform Act 1998</w:t>
      </w:r>
      <w:r>
        <w:t xml:space="preserve">, for "Director" </w:t>
      </w:r>
      <w:r>
        <w:rPr>
          <w:b/>
        </w:rPr>
        <w:t xml:space="preserve">substitute </w:t>
      </w:r>
      <w:r>
        <w:t>"Commission".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E628AF">
        <w:t>(3)</w:t>
      </w:r>
      <w:r>
        <w:tab/>
        <w:t xml:space="preserve">In clause 17(2) in Schedule 3 to the </w:t>
      </w:r>
      <w:r>
        <w:rPr>
          <w:b/>
        </w:rPr>
        <w:t>Liquor Control Reform Act 1998</w:t>
      </w:r>
      <w:r>
        <w:t xml:space="preserve">, for "Director" (wherever occurring) </w:t>
      </w:r>
      <w:r>
        <w:rPr>
          <w:b/>
        </w:rPr>
        <w:t xml:space="preserve">substitute </w:t>
      </w:r>
      <w:r>
        <w:t>"</w:t>
      </w:r>
      <w:proofErr w:type="spellStart"/>
      <w:r>
        <w:t>VCGLR</w:t>
      </w:r>
      <w:proofErr w:type="spellEnd"/>
      <w:r>
        <w:t>".</w:t>
      </w:r>
    </w:p>
    <w:p w:rsidR="00682C96" w:rsidRPr="00EF6F2D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EF6F2D">
        <w:t>(4)</w:t>
      </w:r>
      <w:r>
        <w:tab/>
        <w:t>In clause 17(2</w:t>
      </w:r>
      <w:proofErr w:type="gramStart"/>
      <w:r>
        <w:t>)(</w:t>
      </w:r>
      <w:proofErr w:type="gramEnd"/>
      <w:r>
        <w:t xml:space="preserve">a) and (d) in Schedule 3 to the </w:t>
      </w:r>
      <w:r>
        <w:rPr>
          <w:b/>
        </w:rPr>
        <w:t>Liquor Control Reform Act 1998</w:t>
      </w:r>
      <w:r>
        <w:t xml:space="preserve">, for "he or she" </w:t>
      </w:r>
      <w:r>
        <w:rPr>
          <w:b/>
        </w:rPr>
        <w:t xml:space="preserve">substitute </w:t>
      </w:r>
      <w:r>
        <w:t xml:space="preserve">"the </w:t>
      </w:r>
      <w:proofErr w:type="spellStart"/>
      <w:r>
        <w:t>VCGLR</w:t>
      </w:r>
      <w:proofErr w:type="spellEnd"/>
      <w:r>
        <w:t>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771892">
        <w:t>)</w:t>
      </w:r>
      <w:r>
        <w:tab/>
        <w:t xml:space="preserve">After clause 17(3) in Schedule 3 to the </w:t>
      </w:r>
      <w:r>
        <w:rPr>
          <w:b/>
        </w:rPr>
        <w:t>Liquor Control Reform Act 1998</w:t>
      </w:r>
      <w:r>
        <w:t xml:space="preserve"> </w:t>
      </w:r>
      <w:r>
        <w:rPr>
          <w:b/>
        </w:rPr>
        <w:t>insert</w:t>
      </w:r>
      <w:r w:rsidRPr="00771892">
        <w:t>—</w:t>
      </w:r>
    </w:p>
    <w:p w:rsidR="00682C96" w:rsidRPr="00771892" w:rsidRDefault="00682C96" w:rsidP="00682C96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771892">
        <w:t>"(4)</w:t>
      </w:r>
      <w:r>
        <w:tab/>
        <w:t xml:space="preserve">In this clause, </w:t>
      </w:r>
      <w:proofErr w:type="spellStart"/>
      <w:r>
        <w:rPr>
          <w:b/>
          <w:i/>
        </w:rPr>
        <w:t>VCGLR</w:t>
      </w:r>
      <w:proofErr w:type="spellEnd"/>
      <w:r>
        <w:t xml:space="preserve"> has the same meaning as </w:t>
      </w:r>
      <w:r>
        <w:rPr>
          <w:b/>
          <w:i/>
        </w:rPr>
        <w:t xml:space="preserve">Commission </w:t>
      </w:r>
      <w:r>
        <w:t>has in section 3(1).</w:t>
      </w:r>
      <w:proofErr w:type="gramStart"/>
      <w:r>
        <w:t>".</w:t>
      </w:r>
      <w:proofErr w:type="gramEnd"/>
    </w:p>
    <w:p w:rsidR="000278DA" w:rsidRDefault="000278DA" w:rsidP="00682C96">
      <w:pPr>
        <w:pStyle w:val="DraftHeading1"/>
        <w:tabs>
          <w:tab w:val="right" w:pos="680"/>
        </w:tabs>
        <w:ind w:left="850" w:hanging="850"/>
      </w:pPr>
    </w:p>
    <w:p w:rsidR="00AA14A7" w:rsidRDefault="00AA14A7" w:rsidP="00AA14A7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7D53EA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AA14A7" w:rsidRDefault="00AA14A7" w:rsidP="00AA14A7">
      <w:pPr>
        <w:rPr>
          <w:bCs/>
          <w:sz w:val="24"/>
        </w:rPr>
      </w:pPr>
    </w:p>
    <w:p w:rsidR="00AA14A7" w:rsidRDefault="00AA14A7" w:rsidP="00AA14A7">
      <w:pPr>
        <w:pStyle w:val="DraftHeading1"/>
        <w:tabs>
          <w:tab w:val="right" w:pos="680"/>
        </w:tabs>
        <w:ind w:left="850" w:hanging="850"/>
      </w:pPr>
      <w:r>
        <w:tab/>
      </w:r>
      <w:bookmarkStart w:id="13" w:name="_Toc365368287"/>
      <w:r>
        <w:t>57</w:t>
      </w:r>
      <w:r>
        <w:tab/>
        <w:t>Victorian Commission for Gambling and Liquor Regulation Act 2011</w:t>
      </w:r>
      <w:bookmarkEnd w:id="13"/>
    </w:p>
    <w:p w:rsidR="00AA14A7" w:rsidRPr="00E649CA" w:rsidRDefault="00AA14A7" w:rsidP="00AA14A7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AA14A7" w:rsidRPr="00AA14A7" w:rsidRDefault="00AA14A7" w:rsidP="00AA14A7"/>
    <w:sectPr w:rsidR="00AA14A7" w:rsidRPr="00AA14A7" w:rsidSect="000278D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82C96"/>
    <w:rsid w:val="000278DA"/>
    <w:rsid w:val="000E7DCF"/>
    <w:rsid w:val="00150950"/>
    <w:rsid w:val="003812AA"/>
    <w:rsid w:val="004277B4"/>
    <w:rsid w:val="005020BA"/>
    <w:rsid w:val="005B7C21"/>
    <w:rsid w:val="00682C96"/>
    <w:rsid w:val="007D53EA"/>
    <w:rsid w:val="007D67C9"/>
    <w:rsid w:val="008A39AA"/>
    <w:rsid w:val="00A11D1C"/>
    <w:rsid w:val="00AA14A7"/>
    <w:rsid w:val="00AB4A47"/>
    <w:rsid w:val="00B700B1"/>
    <w:rsid w:val="00DD62B0"/>
    <w:rsid w:val="00EA4C22"/>
    <w:rsid w:val="00F8266D"/>
    <w:rsid w:val="00FD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D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682C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2C96"/>
    <w:pPr>
      <w:spacing w:before="120"/>
      <w:outlineLvl w:val="2"/>
    </w:pPr>
    <w:rPr>
      <w:b/>
      <w:sz w:val="24"/>
      <w:szCs w:val="24"/>
    </w:rPr>
  </w:style>
  <w:style w:type="paragraph" w:customStyle="1" w:styleId="DraftDefinition2">
    <w:name w:val="Draft Definition 2"/>
    <w:next w:val="Normal"/>
    <w:rsid w:val="00682C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82C96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682C96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682C96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1653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2012-05-04T01:09:00Z</cp:lastPrinted>
  <dcterms:created xsi:type="dcterms:W3CDTF">2013-11-18T23:10:00Z</dcterms:created>
  <dcterms:modified xsi:type="dcterms:W3CDTF">2013-11-18T23:10:00Z</dcterms:modified>
</cp:coreProperties>
</file>