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Compensation Act 1985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0327C">
        <w:rPr>
          <w:b/>
          <w:sz w:val="24"/>
        </w:rPr>
        <w:t>18</w:t>
      </w:r>
      <w:r w:rsidR="004B1BDD">
        <w:rPr>
          <w:b/>
          <w:sz w:val="24"/>
        </w:rPr>
        <w:t>3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88(2)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628(1)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E34032">
        <w:rPr>
          <w:bCs/>
          <w:sz w:val="24"/>
        </w:rPr>
        <w:t>67/2013</w:t>
      </w:r>
      <w:r>
        <w:rPr>
          <w:bCs/>
          <w:sz w:val="24"/>
        </w:rPr>
        <w:t xml:space="preserve">.  Section 628(1) is </w:t>
      </w:r>
      <w:r w:rsidR="003E1FD4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628(1) reads as follows: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7087492"/>
      <w:r>
        <w:t>628</w:t>
      </w:r>
      <w:r>
        <w:tab/>
        <w:t>Part IV</w:t>
      </w:r>
      <w:bookmarkEnd w:id="3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tab/>
      </w:r>
      <w:r>
        <w:rPr>
          <w:lang w:eastAsia="en-AU"/>
        </w:rPr>
        <w:t>(1</w:t>
      </w:r>
      <w:r w:rsidRPr="00014E31">
        <w:rPr>
          <w:lang w:eastAsia="en-AU"/>
        </w:rPr>
        <w:t>)</w:t>
      </w:r>
      <w:r>
        <w:rPr>
          <w:lang w:eastAsia="en-AU"/>
        </w:rPr>
        <w:tab/>
      </w:r>
      <w:r w:rsidRPr="00A845CF">
        <w:rPr>
          <w:lang w:eastAsia="en-AU"/>
        </w:rPr>
        <w:t xml:space="preserve">In section 88(2) of the </w:t>
      </w:r>
      <w:r w:rsidRPr="00A845CF">
        <w:rPr>
          <w:b/>
          <w:bCs/>
          <w:lang w:eastAsia="en-AU"/>
        </w:rPr>
        <w:t>Accident Compensation Act 1985</w:t>
      </w:r>
      <w:r w:rsidRPr="00A845CF">
        <w:rPr>
          <w:lang w:eastAsia="en-AU"/>
        </w:rPr>
        <w:t xml:space="preserve">, for "Divisions 2 and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" </w:t>
      </w:r>
      <w:r w:rsidRPr="00A845CF">
        <w:rPr>
          <w:b/>
          <w:bCs/>
          <w:lang w:eastAsia="en-AU"/>
        </w:rPr>
        <w:t>substitute</w:t>
      </w:r>
      <w:r w:rsidRPr="00A845CF">
        <w:rPr>
          <w:lang w:eastAsia="en-AU"/>
        </w:rPr>
        <w:t xml:space="preserve"> "Divisions 2,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 and </w:t>
      </w:r>
      <w:proofErr w:type="spellStart"/>
      <w:r w:rsidRPr="00A845CF">
        <w:rPr>
          <w:lang w:eastAsia="en-AU"/>
        </w:rPr>
        <w:t>2B</w:t>
      </w:r>
      <w:proofErr w:type="spellEnd"/>
      <w:r w:rsidRPr="00A845CF">
        <w:rPr>
          <w:lang w:eastAsia="en-AU"/>
        </w:rPr>
        <w:t>".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313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substituted by section 641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E34032">
        <w:rPr>
          <w:bCs/>
          <w:sz w:val="24"/>
        </w:rPr>
        <w:t>67/2013</w:t>
      </w:r>
      <w:r>
        <w:rPr>
          <w:bCs/>
          <w:sz w:val="24"/>
        </w:rPr>
        <w:t xml:space="preserve">.  Section 641 is </w:t>
      </w:r>
      <w:r w:rsidR="003E1FD4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641 reads as follows:</w:t>
      </w:r>
    </w:p>
    <w:p w:rsidR="005C3C93" w:rsidRDefault="005C3C93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367087510"/>
      <w:r>
        <w:t>641</w:t>
      </w:r>
      <w:r>
        <w:tab/>
        <w:t>Part IX, section 313 substituted</w:t>
      </w:r>
      <w:bookmarkEnd w:id="4"/>
    </w:p>
    <w:p w:rsidR="00496C58" w:rsidRDefault="00496C58" w:rsidP="00496C58">
      <w:pPr>
        <w:pStyle w:val="BodySectionSub"/>
      </w:pPr>
      <w:r>
        <w:t xml:space="preserve">For section 313 of the </w:t>
      </w:r>
      <w:r w:rsidRPr="00F64979">
        <w:rPr>
          <w:b/>
        </w:rPr>
        <w:t>Accident Compensation Act 1985</w:t>
      </w:r>
      <w:r>
        <w:t xml:space="preserve"> </w:t>
      </w:r>
      <w:r w:rsidRPr="00F64979">
        <w:rPr>
          <w:b/>
        </w:rPr>
        <w:t>substitute</w:t>
      </w:r>
      <w:r>
        <w:t>—</w:t>
      </w:r>
    </w:p>
    <w:p w:rsidR="00496C58" w:rsidRPr="007B5850" w:rsidRDefault="00496C58" w:rsidP="00496C58">
      <w:pPr>
        <w:pStyle w:val="AmendHeading1s"/>
        <w:tabs>
          <w:tab w:val="right" w:pos="1701"/>
        </w:tabs>
        <w:ind w:left="1871" w:hanging="1871"/>
      </w:pPr>
      <w:r>
        <w:tab/>
      </w:r>
      <w:bookmarkStart w:id="5" w:name="_Toc367087511"/>
      <w:r w:rsidRPr="007731EA">
        <w:rPr>
          <w:b w:val="0"/>
        </w:rPr>
        <w:t>"</w:t>
      </w:r>
      <w:r w:rsidRPr="00FA0A9D">
        <w:t>313</w:t>
      </w:r>
      <w:r>
        <w:tab/>
        <w:t xml:space="preserve">Section </w:t>
      </w:r>
      <w:proofErr w:type="spellStart"/>
      <w:r>
        <w:t>93CD</w:t>
      </w:r>
      <w:bookmarkEnd w:id="5"/>
      <w:proofErr w:type="spellEnd"/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A0A9D">
        <w:t>(1)</w:t>
      </w:r>
      <w:r>
        <w:tab/>
        <w:t xml:space="preserve">Despite section </w:t>
      </w:r>
      <w:proofErr w:type="spellStart"/>
      <w:r>
        <w:t>4A</w:t>
      </w:r>
      <w:proofErr w:type="spellEnd"/>
      <w:r>
        <w:t>—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(a)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substituted by section 34 of the amending Act, applies in respect of an injury occurring on or after the commencement date;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(b)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in force immediately before the commencement of section 34 of the amending Act, applies in respect of an injury occurring before the commencement date.</w:t>
      </w:r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64979">
        <w:t>(2)</w:t>
      </w:r>
      <w:r>
        <w:tab/>
        <w:t xml:space="preserve">Section </w:t>
      </w:r>
      <w:proofErr w:type="spellStart"/>
      <w:proofErr w:type="gramStart"/>
      <w:r>
        <w:t>93CD</w:t>
      </w:r>
      <w:proofErr w:type="spellEnd"/>
      <w:r>
        <w:t>(</w:t>
      </w:r>
      <w:proofErr w:type="gramEnd"/>
      <w:r>
        <w:t>5), as substituted by section 34 of the amending Act, applies in relation to an entitlement period beginning on or after 5 April 2010.".</w:t>
      </w:r>
    </w:p>
    <w:p w:rsidR="00496C58" w:rsidRDefault="00496C58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lastRenderedPageBreak/>
        <w:t xml:space="preserve">Section 8(5)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626(7)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E34032">
        <w:rPr>
          <w:bCs/>
          <w:sz w:val="24"/>
        </w:rPr>
        <w:t>67/2013</w:t>
      </w:r>
      <w:r>
        <w:rPr>
          <w:bCs/>
          <w:sz w:val="24"/>
        </w:rPr>
        <w:t xml:space="preserve">.  Section 626(7) is </w:t>
      </w:r>
      <w:r w:rsidR="003E1FD4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626(7) reads as follows:</w:t>
      </w:r>
    </w:p>
    <w:p w:rsidR="00496C58" w:rsidRDefault="00496C58" w:rsidP="00496C58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6" w:name="_Toc367087490"/>
      <w:r w:rsidRPr="00B67E55">
        <w:t>626</w:t>
      </w:r>
      <w:r>
        <w:tab/>
        <w:t xml:space="preserve">Amendment of sections 5, </w:t>
      </w:r>
      <w:proofErr w:type="spellStart"/>
      <w:r>
        <w:t>5A</w:t>
      </w:r>
      <w:proofErr w:type="spellEnd"/>
      <w:r>
        <w:t xml:space="preserve">, </w:t>
      </w:r>
      <w:proofErr w:type="spellStart"/>
      <w:r>
        <w:t>5AB</w:t>
      </w:r>
      <w:proofErr w:type="spellEnd"/>
      <w:r>
        <w:t xml:space="preserve">, </w:t>
      </w:r>
      <w:proofErr w:type="spellStart"/>
      <w:r>
        <w:t>5AE</w:t>
      </w:r>
      <w:proofErr w:type="spellEnd"/>
      <w:r>
        <w:t>, 8(5) and 68</w:t>
      </w:r>
      <w:bookmarkEnd w:id="6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006652">
        <w:t>(</w:t>
      </w:r>
      <w:r>
        <w:t>7</w:t>
      </w:r>
      <w:r w:rsidRPr="00006652">
        <w:t>)</w:t>
      </w:r>
      <w:r>
        <w:tab/>
      </w:r>
      <w:r>
        <w:tab/>
      </w:r>
      <w:r w:rsidRPr="004D725A">
        <w:t xml:space="preserve">In section 8(5) of the </w:t>
      </w:r>
      <w:r w:rsidRPr="004D725A">
        <w:rPr>
          <w:b/>
        </w:rPr>
        <w:t>Accident Compensation Act 1985</w:t>
      </w:r>
      <w:r w:rsidRPr="004D725A">
        <w:t xml:space="preserve">, in the definition of </w:t>
      </w:r>
      <w:r w:rsidRPr="004D725A">
        <w:rPr>
          <w:b/>
          <w:i/>
        </w:rPr>
        <w:t>relevant period</w:t>
      </w:r>
      <w:r>
        <w:t xml:space="preserve">, </w:t>
      </w:r>
      <w:r w:rsidRPr="004D725A">
        <w:t xml:space="preserve">after "in relation to services provided" </w:t>
      </w:r>
      <w:r w:rsidRPr="004D725A">
        <w:rPr>
          <w:b/>
        </w:rPr>
        <w:t>insert</w:t>
      </w:r>
      <w:r>
        <w:t xml:space="preserve"> "on or after 1 July 2010".</w:t>
      </w:r>
    </w:p>
    <w:p w:rsidR="00496C58" w:rsidRDefault="00496C58" w:rsidP="00496C58">
      <w:pPr>
        <w:rPr>
          <w:sz w:val="24"/>
        </w:rPr>
      </w:pPr>
    </w:p>
    <w:p w:rsidR="00A61324" w:rsidRDefault="00A61324" w:rsidP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96(7)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630(3)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E34032">
        <w:rPr>
          <w:bCs/>
          <w:sz w:val="24"/>
        </w:rPr>
        <w:t>67/2013</w:t>
      </w:r>
      <w:r>
        <w:rPr>
          <w:bCs/>
          <w:sz w:val="24"/>
        </w:rPr>
        <w:t xml:space="preserve">.  Section 630(3) is </w:t>
      </w:r>
      <w:r w:rsidR="003E1FD4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630(3) reads as follows:</w:t>
      </w:r>
    </w:p>
    <w:p w:rsidR="00496C58" w:rsidRPr="00D361E3" w:rsidRDefault="00496C58" w:rsidP="00496C58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  <w:t>630</w:t>
      </w:r>
      <w:r>
        <w:rPr>
          <w:lang w:eastAsia="en-AU"/>
        </w:rPr>
        <w:tab/>
        <w:t>Further amendment of Part IV</w:t>
      </w:r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FE2611">
        <w:t>(</w:t>
      </w:r>
      <w:r>
        <w:t>3</w:t>
      </w:r>
      <w:r w:rsidRPr="00FE2611">
        <w:t>)</w:t>
      </w:r>
      <w:r>
        <w:tab/>
        <w:t xml:space="preserve">In section 96(7) of the </w:t>
      </w:r>
      <w:r w:rsidRPr="00FA1122">
        <w:rPr>
          <w:b/>
        </w:rPr>
        <w:t>Accident Compensation Act 1985</w:t>
      </w:r>
      <w:r>
        <w:t xml:space="preserve">, for the definition of </w:t>
      </w:r>
      <w:r w:rsidRPr="00FA1122">
        <w:rPr>
          <w:b/>
          <w:i/>
        </w:rPr>
        <w:t>supplemental pension limit</w:t>
      </w:r>
      <w:r w:rsidRPr="00FA1122">
        <w:rPr>
          <w:b/>
        </w:rPr>
        <w:t xml:space="preserve"> substitute</w:t>
      </w:r>
      <w:r w:rsidRPr="00FF2976">
        <w:t>—</w:t>
      </w:r>
    </w:p>
    <w:p w:rsidR="00496C58" w:rsidRDefault="00496C58" w:rsidP="00496C58">
      <w:pPr>
        <w:pStyle w:val="DraftDefinition2"/>
      </w:pPr>
      <w:r>
        <w:t>"</w:t>
      </w:r>
      <w:proofErr w:type="gramStart"/>
      <w:r>
        <w:rPr>
          <w:b/>
          <w:i/>
        </w:rPr>
        <w:t>supplemental</w:t>
      </w:r>
      <w:proofErr w:type="gramEnd"/>
      <w:r>
        <w:rPr>
          <w:b/>
          <w:i/>
        </w:rPr>
        <w:t xml:space="preserve"> pension limit</w:t>
      </w:r>
      <w:r>
        <w:t xml:space="preserve">, in relation to a worker, means the worker's pre-injury average weekly earnings as calculated under section </w:t>
      </w:r>
      <w:proofErr w:type="spellStart"/>
      <w:r>
        <w:t>5A</w:t>
      </w:r>
      <w:proofErr w:type="spellEnd"/>
      <w:r>
        <w:t xml:space="preserve"> as indexed in accordance with section 100(1) and calculated as if the period of 52 weeks referred to in paragraph (a) of the definition of </w:t>
      </w:r>
      <w:r>
        <w:rPr>
          <w:b/>
          <w:i/>
        </w:rPr>
        <w:t>enhancement period</w:t>
      </w:r>
      <w:r>
        <w:t xml:space="preserve"> in section </w:t>
      </w:r>
      <w:proofErr w:type="spellStart"/>
      <w:r>
        <w:t>5AD</w:t>
      </w:r>
      <w:proofErr w:type="spellEnd"/>
      <w:r>
        <w:t xml:space="preserve"> had not expired.".</w:t>
      </w:r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>
        <w:rPr>
          <w:sz w:val="24"/>
        </w:rPr>
        <w:t>368A</w:t>
      </w:r>
      <w:proofErr w:type="spellEnd"/>
      <w:r>
        <w:rPr>
          <w:sz w:val="24"/>
        </w:rPr>
        <w:t xml:space="preserve">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inserted by section 643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E34032">
        <w:rPr>
          <w:bCs/>
          <w:sz w:val="24"/>
        </w:rPr>
        <w:t>67/2013</w:t>
      </w:r>
      <w:r>
        <w:rPr>
          <w:bCs/>
          <w:sz w:val="24"/>
        </w:rPr>
        <w:t xml:space="preserve">.  Section 643 is </w:t>
      </w:r>
      <w:r w:rsidR="003E1FD4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November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643 reads as follows:</w:t>
      </w:r>
    </w:p>
    <w:p w:rsidR="00A61324" w:rsidRDefault="00A61324" w:rsidP="00496C58">
      <w:pPr>
        <w:rPr>
          <w:bCs/>
          <w:sz w:val="24"/>
        </w:rPr>
      </w:pPr>
    </w:p>
    <w:p w:rsidR="00A61324" w:rsidRPr="00F64979" w:rsidRDefault="00A61324" w:rsidP="00A61324">
      <w:pPr>
        <w:pStyle w:val="DraftHeading1"/>
        <w:tabs>
          <w:tab w:val="right" w:pos="680"/>
        </w:tabs>
        <w:ind w:left="850" w:hanging="850"/>
      </w:pPr>
      <w:r>
        <w:tab/>
      </w:r>
      <w:bookmarkStart w:id="7" w:name="_Toc367087514"/>
      <w:r>
        <w:t>643</w:t>
      </w:r>
      <w:r>
        <w:tab/>
        <w:t xml:space="preserve">Part IX, new section </w:t>
      </w:r>
      <w:proofErr w:type="spellStart"/>
      <w:r>
        <w:t>368A</w:t>
      </w:r>
      <w:proofErr w:type="spellEnd"/>
      <w:r>
        <w:t xml:space="preserve"> inserted</w:t>
      </w:r>
      <w:bookmarkEnd w:id="7"/>
    </w:p>
    <w:p w:rsidR="00A61324" w:rsidRDefault="00A61324" w:rsidP="00A61324">
      <w:pPr>
        <w:pStyle w:val="BodySectionSub"/>
      </w:pPr>
      <w:r>
        <w:t xml:space="preserve">After section 368 of the </w:t>
      </w:r>
      <w:r w:rsidRPr="00F64979">
        <w:rPr>
          <w:b/>
        </w:rPr>
        <w:t>Accident Compensation Act 1985</w:t>
      </w:r>
      <w:r>
        <w:t xml:space="preserve">, </w:t>
      </w:r>
      <w:r w:rsidRPr="00F64979">
        <w:rPr>
          <w:b/>
        </w:rPr>
        <w:t>insert</w:t>
      </w:r>
      <w:r>
        <w:t>—</w:t>
      </w:r>
    </w:p>
    <w:p w:rsidR="00A61324" w:rsidRDefault="00A61324" w:rsidP="00A61324">
      <w:pPr>
        <w:pStyle w:val="AmendHeading1s"/>
        <w:tabs>
          <w:tab w:val="right" w:pos="1701"/>
        </w:tabs>
        <w:ind w:left="1871" w:hanging="1871"/>
      </w:pPr>
      <w:r>
        <w:tab/>
      </w:r>
      <w:bookmarkStart w:id="8" w:name="_Toc367087515"/>
      <w:r w:rsidRPr="007731EA">
        <w:rPr>
          <w:b w:val="0"/>
        </w:rPr>
        <w:t>"</w:t>
      </w:r>
      <w:proofErr w:type="spellStart"/>
      <w:r w:rsidRPr="004A1AFA">
        <w:t>368A</w:t>
      </w:r>
      <w:proofErr w:type="spellEnd"/>
      <w:r w:rsidRPr="004A1AFA">
        <w:tab/>
        <w:t>Section 91(</w:t>
      </w:r>
      <w:proofErr w:type="spellStart"/>
      <w:r w:rsidRPr="004A1AFA">
        <w:t>3AAA</w:t>
      </w:r>
      <w:proofErr w:type="spellEnd"/>
      <w:r w:rsidRPr="004A1AFA">
        <w:t>)</w:t>
      </w:r>
      <w:bookmarkEnd w:id="8"/>
    </w:p>
    <w:p w:rsidR="00A61324" w:rsidRDefault="00A61324" w:rsidP="00A61324">
      <w:pPr>
        <w:pStyle w:val="AmendHeading1"/>
        <w:ind w:left="1871"/>
      </w:pPr>
      <w:r>
        <w:t>Section 91(</w:t>
      </w:r>
      <w:proofErr w:type="spellStart"/>
      <w:r>
        <w:t>3AAA</w:t>
      </w:r>
      <w:proofErr w:type="spellEnd"/>
      <w:r>
        <w:t>), as inserted by section 88(2) of the amending Act, applies to assessments of deafness made on or after 1 November 2010 for the purposes of assessing the degree or impairment in relation to a claim made before, on or after that date.".</w:t>
      </w:r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E7DCF"/>
    <w:rsid w:val="001E740C"/>
    <w:rsid w:val="0029365C"/>
    <w:rsid w:val="003A6D86"/>
    <w:rsid w:val="003E1FD4"/>
    <w:rsid w:val="00472892"/>
    <w:rsid w:val="00496C58"/>
    <w:rsid w:val="004B1BDD"/>
    <w:rsid w:val="004D3040"/>
    <w:rsid w:val="005C3C93"/>
    <w:rsid w:val="0070792D"/>
    <w:rsid w:val="008A4453"/>
    <w:rsid w:val="00935930"/>
    <w:rsid w:val="00A02A2D"/>
    <w:rsid w:val="00A0327C"/>
    <w:rsid w:val="00A61324"/>
    <w:rsid w:val="00A71158"/>
    <w:rsid w:val="00A936D9"/>
    <w:rsid w:val="00AE2345"/>
    <w:rsid w:val="00AF732A"/>
    <w:rsid w:val="00BD4093"/>
    <w:rsid w:val="00C67AB2"/>
    <w:rsid w:val="00C97F37"/>
    <w:rsid w:val="00D06039"/>
    <w:rsid w:val="00D90717"/>
    <w:rsid w:val="00E3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2013-10-28T03:54:00Z</cp:lastPrinted>
  <dcterms:created xsi:type="dcterms:W3CDTF">2013-11-12T04:36:00Z</dcterms:created>
  <dcterms:modified xsi:type="dcterms:W3CDTF">2013-11-12T04:36:00Z</dcterms:modified>
</cp:coreProperties>
</file>